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AD" w:rsidRDefault="00837DAD" w:rsidP="00837DAD">
      <w:pPr>
        <w:shd w:val="clear" w:color="auto" w:fill="FFFFFF"/>
        <w:spacing w:before="5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5EB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родной (русской)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837DAD" w:rsidRDefault="00837DAD" w:rsidP="00837DAD">
      <w:pPr>
        <w:shd w:val="clear" w:color="auto" w:fill="FFFFFF"/>
        <w:spacing w:before="5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45EB">
        <w:rPr>
          <w:rFonts w:ascii="Times New Roman" w:hAnsi="Times New Roman"/>
          <w:b/>
          <w:sz w:val="28"/>
          <w:szCs w:val="28"/>
        </w:rPr>
        <w:t xml:space="preserve"> в 5 классе</w:t>
      </w:r>
    </w:p>
    <w:p w:rsidR="008B4548" w:rsidRPr="005B06A7" w:rsidRDefault="008B4548" w:rsidP="008B4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. Октябрьск по 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(русск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основного общего образования (5- 9 классы) составлена с учетом требований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№ 1897 от 17.12.2010 в редакции приказов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 №1644 от 29.12.2014 и № 1577 от 31.12.2015), в соответствии с основной образовательной программой основного общего образования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. Октябрьск, на основании программы по 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литературы</w:t>
      </w:r>
      <w:r w:rsidRPr="005B06A7">
        <w:rPr>
          <w:rFonts w:ascii="Times New Roman" w:hAnsi="Times New Roman"/>
          <w:sz w:val="28"/>
          <w:szCs w:val="28"/>
        </w:rPr>
        <w:t xml:space="preserve"> «Родн</w:t>
      </w:r>
      <w:r>
        <w:rPr>
          <w:rFonts w:ascii="Times New Roman" w:hAnsi="Times New Roman"/>
          <w:sz w:val="28"/>
          <w:szCs w:val="28"/>
        </w:rPr>
        <w:t>ая</w:t>
      </w:r>
      <w:r w:rsidRPr="005B06A7">
        <w:rPr>
          <w:rFonts w:ascii="Times New Roman" w:hAnsi="Times New Roman"/>
          <w:sz w:val="28"/>
          <w:szCs w:val="28"/>
        </w:rPr>
        <w:t xml:space="preserve"> (русск</w:t>
      </w:r>
      <w:r>
        <w:rPr>
          <w:rFonts w:ascii="Times New Roman" w:hAnsi="Times New Roman"/>
          <w:sz w:val="28"/>
          <w:szCs w:val="28"/>
        </w:rPr>
        <w:t>ая</w:t>
      </w:r>
      <w:r w:rsidRPr="005B06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литература</w:t>
      </w:r>
      <w:r w:rsidRPr="005B06A7">
        <w:rPr>
          <w:rFonts w:ascii="Times New Roman" w:hAnsi="Times New Roman"/>
          <w:sz w:val="28"/>
          <w:szCs w:val="28"/>
        </w:rPr>
        <w:t xml:space="preserve">» рабочая программа / Ерофеева О.Ю., Воскресенская Н.Е. – Самара, 2020.   </w:t>
      </w:r>
    </w:p>
    <w:p w:rsidR="008B4548" w:rsidRPr="005B06A7" w:rsidRDefault="008B4548" w:rsidP="008B45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учебном плане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. Октябрьск на изучение учебного предмета «Родн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» отводится</w:t>
      </w:r>
    </w:p>
    <w:p w:rsidR="008B4548" w:rsidRPr="005B06A7" w:rsidRDefault="008B4548" w:rsidP="008B45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в 5 классе – 0, 5 часов в неделю, что составляет 17 часов в год.</w:t>
      </w:r>
    </w:p>
    <w:p w:rsidR="008B4548" w:rsidRPr="005B06A7" w:rsidRDefault="008B4548" w:rsidP="008B4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</w:p>
    <w:tbl>
      <w:tblPr>
        <w:tblW w:w="9214" w:type="dxa"/>
        <w:tblInd w:w="7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118"/>
        <w:gridCol w:w="3827"/>
        <w:gridCol w:w="1276"/>
      </w:tblGrid>
      <w:tr w:rsidR="008B4548" w:rsidRPr="005B06A7" w:rsidTr="00E1304F">
        <w:trPr>
          <w:trHeight w:val="3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8B4548" w:rsidRPr="005B06A7" w:rsidTr="00E1304F">
        <w:trPr>
          <w:trHeight w:val="3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5B06A7">
              <w:rPr>
                <w:rFonts w:ascii="Times New Roman" w:hAnsi="Times New Roman"/>
                <w:sz w:val="28"/>
                <w:szCs w:val="28"/>
              </w:rPr>
              <w:t xml:space="preserve">: Учеб. для 5 </w:t>
            </w:r>
            <w:proofErr w:type="spellStart"/>
            <w:r w:rsidRPr="005B06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B06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B06A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5B06A7">
              <w:rPr>
                <w:rFonts w:ascii="Times New Roman" w:hAnsi="Times New Roman"/>
                <w:sz w:val="28"/>
                <w:szCs w:val="28"/>
              </w:rPr>
              <w:t xml:space="preserve">. учреждений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В.Я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8B4548" w:rsidRPr="005B06A7" w:rsidRDefault="008B454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 w:rsidRPr="005B06A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8B4548" w:rsidRPr="005B06A7" w:rsidRDefault="008B4548" w:rsidP="008B45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Родная (русская) литература</w:t>
      </w:r>
      <w:r w:rsidRPr="005B06A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B4548" w:rsidRPr="004D6463" w:rsidRDefault="008B4548" w:rsidP="008B45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>Предметные результаты изучения предметной области "Родная (русская) литература» отражают: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1" w:name="sub_111211"/>
      <w:r w:rsidRPr="004D6463">
        <w:rPr>
          <w:rFonts w:ascii="Times New Roman" w:hAnsi="Times New Roman"/>
          <w:sz w:val="28"/>
          <w:szCs w:val="28"/>
        </w:rPr>
        <w:t>1</w:t>
      </w:r>
      <w:bookmarkStart w:id="2" w:name="sub_111221"/>
      <w:bookmarkEnd w:id="1"/>
      <w:r w:rsidRPr="004D6463">
        <w:rPr>
          <w:rFonts w:ascii="Times New Roman" w:hAnsi="Times New Roman"/>
          <w:sz w:val="28"/>
          <w:szCs w:val="28"/>
        </w:rPr>
        <w:t>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3" w:name="sub_111222"/>
      <w:bookmarkEnd w:id="2"/>
      <w:r w:rsidRPr="004D6463">
        <w:rPr>
          <w:rFonts w:ascii="Times New Roman" w:hAnsi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4" w:name="sub_111223"/>
      <w:bookmarkEnd w:id="3"/>
      <w:r w:rsidRPr="004D6463">
        <w:rPr>
          <w:rFonts w:ascii="Times New Roman" w:hAnsi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5" w:name="sub_111224"/>
      <w:bookmarkEnd w:id="4"/>
      <w:r w:rsidRPr="004D6463">
        <w:rPr>
          <w:rFonts w:ascii="Times New Roman" w:hAnsi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</w:t>
      </w:r>
      <w:r w:rsidRPr="004D6463">
        <w:rPr>
          <w:rFonts w:ascii="Times New Roman" w:hAnsi="Times New Roman"/>
          <w:sz w:val="28"/>
          <w:szCs w:val="28"/>
        </w:rPr>
        <w:lastRenderedPageBreak/>
        <w:t>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6" w:name="sub_111225"/>
      <w:bookmarkEnd w:id="5"/>
      <w:r w:rsidRPr="004D6463">
        <w:rPr>
          <w:rFonts w:ascii="Times New Roman" w:hAnsi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B4548" w:rsidRPr="004D6463" w:rsidRDefault="008B4548" w:rsidP="008B4548">
      <w:pPr>
        <w:ind w:firstLine="567"/>
        <w:rPr>
          <w:rFonts w:ascii="Times New Roman" w:hAnsi="Times New Roman"/>
          <w:sz w:val="28"/>
          <w:szCs w:val="28"/>
        </w:rPr>
      </w:pPr>
      <w:bookmarkStart w:id="7" w:name="sub_111226"/>
      <w:bookmarkEnd w:id="6"/>
      <w:r w:rsidRPr="004D6463">
        <w:rPr>
          <w:rFonts w:ascii="Times New Roman" w:hAnsi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7"/>
    <w:p w:rsidR="008B4548" w:rsidRPr="005B06A7" w:rsidRDefault="008B4548" w:rsidP="008B4548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548" w:rsidRPr="004D6463" w:rsidRDefault="008B4548" w:rsidP="008B454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B06A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>1. Сказка как жанр фольклора Сказка как повествовательный жанр фольклора. Виды сказок (закрепление представлений).  Постоянные эпитеты. Гипербола (начальное представление). Сказочные формулы.  Вариативность народных сказок (начальные представления). Сравнение. Композиция сказки.</w:t>
      </w:r>
      <w:r>
        <w:rPr>
          <w:rFonts w:ascii="Times New Roman" w:hAnsi="Times New Roman"/>
          <w:sz w:val="28"/>
          <w:szCs w:val="28"/>
        </w:rPr>
        <w:t xml:space="preserve"> Признаки волшебных сказок. </w:t>
      </w:r>
      <w:r w:rsidRPr="004D6463">
        <w:rPr>
          <w:rFonts w:ascii="Times New Roman" w:hAnsi="Times New Roman"/>
          <w:sz w:val="28"/>
          <w:szCs w:val="28"/>
        </w:rPr>
        <w:t xml:space="preserve"> 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2. Сказки и предания Самарского края Собиратель сказок Д.Н. Садовников и его книга «Сказки и предания Самарского края». Сюжеты и герои сказок (сказки предварительно отбираются учителем, при необходимости адаптируются, сокращаются). Сравнение с известными сказками и преданиями. Общее и различное. </w:t>
      </w:r>
      <w:proofErr w:type="spellStart"/>
      <w:r w:rsidRPr="004D6463">
        <w:rPr>
          <w:rFonts w:ascii="Times New Roman" w:hAnsi="Times New Roman"/>
          <w:sz w:val="28"/>
          <w:szCs w:val="28"/>
        </w:rPr>
        <w:t>Р.р</w:t>
      </w:r>
      <w:proofErr w:type="spellEnd"/>
      <w:r w:rsidRPr="004D6463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ыразительное чтение. Пересказ. </w:t>
      </w:r>
      <w:r w:rsidRPr="004D646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3. Баснописец И.И. Дмитриев Биография И.И. Дмитриева. Связь писателя с Самарским краем. Басни И.И. Дмитриева, их смысл. </w:t>
      </w:r>
      <w:proofErr w:type="spellStart"/>
      <w:r w:rsidRPr="004D6463">
        <w:rPr>
          <w:rFonts w:ascii="Times New Roman" w:hAnsi="Times New Roman"/>
          <w:sz w:val="28"/>
          <w:szCs w:val="28"/>
        </w:rPr>
        <w:t>Р.р</w:t>
      </w:r>
      <w:proofErr w:type="spellEnd"/>
      <w:r w:rsidRPr="004D6463">
        <w:rPr>
          <w:rFonts w:ascii="Times New Roman" w:hAnsi="Times New Roman"/>
          <w:sz w:val="28"/>
          <w:szCs w:val="28"/>
        </w:rPr>
        <w:t>. Выразит</w:t>
      </w:r>
      <w:r>
        <w:rPr>
          <w:rFonts w:ascii="Times New Roman" w:hAnsi="Times New Roman"/>
          <w:sz w:val="28"/>
          <w:szCs w:val="28"/>
        </w:rPr>
        <w:t xml:space="preserve">ельное чтение. Чтение наизусть 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4. Сказка и басня </w:t>
      </w:r>
      <w:proofErr w:type="spellStart"/>
      <w:r w:rsidRPr="004D6463">
        <w:rPr>
          <w:rFonts w:ascii="Times New Roman" w:hAnsi="Times New Roman"/>
          <w:sz w:val="28"/>
          <w:szCs w:val="28"/>
        </w:rPr>
        <w:t>Басня</w:t>
      </w:r>
      <w:proofErr w:type="spellEnd"/>
      <w:r w:rsidRPr="004D6463">
        <w:rPr>
          <w:rFonts w:ascii="Times New Roman" w:hAnsi="Times New Roman"/>
          <w:sz w:val="28"/>
          <w:szCs w:val="28"/>
        </w:rPr>
        <w:t xml:space="preserve"> (развитие представлений). Аллегория (начальные представления). Понятие об эзоповом языке. Мораль. Сравнение композиции, языка, г</w:t>
      </w:r>
      <w:r>
        <w:rPr>
          <w:rFonts w:ascii="Times New Roman" w:hAnsi="Times New Roman"/>
          <w:sz w:val="28"/>
          <w:szCs w:val="28"/>
        </w:rPr>
        <w:t xml:space="preserve">ероев народной сказки и басен. </w:t>
      </w:r>
    </w:p>
    <w:p w:rsidR="008B4548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5. Л.Н. Толстой Л.Н. Толстой в Самарском крае. Сказки Л.Н. Толстого. Своеобразие языка и сказок Л.Н. Толстого. </w:t>
      </w:r>
      <w:proofErr w:type="spellStart"/>
      <w:r w:rsidRPr="004D6463">
        <w:rPr>
          <w:rFonts w:ascii="Times New Roman" w:hAnsi="Times New Roman"/>
          <w:sz w:val="28"/>
          <w:szCs w:val="28"/>
        </w:rPr>
        <w:t>Р.р</w:t>
      </w:r>
      <w:proofErr w:type="spellEnd"/>
      <w:r w:rsidRPr="004D6463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очинение своей короткой сказки.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lastRenderedPageBreak/>
        <w:t xml:space="preserve">6. Авторская сказка и народная. Литературная сказка (начальные представления). «Бродячие сюжеты» сказок </w:t>
      </w:r>
      <w:r>
        <w:rPr>
          <w:rFonts w:ascii="Times New Roman" w:hAnsi="Times New Roman"/>
          <w:sz w:val="28"/>
          <w:szCs w:val="28"/>
        </w:rPr>
        <w:t xml:space="preserve">разных народов. </w:t>
      </w:r>
      <w:r w:rsidRPr="004D6463">
        <w:rPr>
          <w:rFonts w:ascii="Times New Roman" w:hAnsi="Times New Roman"/>
          <w:sz w:val="28"/>
          <w:szCs w:val="28"/>
        </w:rPr>
        <w:t xml:space="preserve"> 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>7. А.Н. Толстой. А.Н. Толстой. Жизнь и творчество. Дом-музей А.Н. Толстого в Самаре. «Золотой ключик, или Приключения Буратино». Сюжет и герои. Ос</w:t>
      </w:r>
      <w:r>
        <w:rPr>
          <w:rFonts w:ascii="Times New Roman" w:hAnsi="Times New Roman"/>
          <w:sz w:val="28"/>
          <w:szCs w:val="28"/>
        </w:rPr>
        <w:t xml:space="preserve">обенности литературной сказки. 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8. Сопоставление произведений с похожим сюжетом. Сказка А.Н. Толстого «Золотой ключик, или Приключения Буратино». </w:t>
      </w:r>
      <w:proofErr w:type="spellStart"/>
      <w:r w:rsidRPr="004D6463">
        <w:rPr>
          <w:rFonts w:ascii="Times New Roman" w:hAnsi="Times New Roman"/>
          <w:sz w:val="28"/>
          <w:szCs w:val="28"/>
        </w:rPr>
        <w:t>Вн</w:t>
      </w:r>
      <w:proofErr w:type="spellEnd"/>
      <w:r w:rsidRPr="004D6463">
        <w:rPr>
          <w:rFonts w:ascii="Times New Roman" w:hAnsi="Times New Roman"/>
          <w:sz w:val="28"/>
          <w:szCs w:val="28"/>
        </w:rPr>
        <w:t xml:space="preserve">. чт. История С. Коллоди «Пиноккио, или Похождения деревянной куклы». Сходства и различия. Литературный герой (развитие представлений). Сравнение (развитие понятия). Сюжет (начальное представление). Портрет (развитие представлений). Композиция литературного произведения (начальные понятия). Развитие жанра литературной сказки в XX веке. </w:t>
      </w:r>
      <w:proofErr w:type="spellStart"/>
      <w:r w:rsidRPr="004D6463">
        <w:rPr>
          <w:rFonts w:ascii="Times New Roman" w:hAnsi="Times New Roman"/>
          <w:sz w:val="28"/>
          <w:szCs w:val="28"/>
        </w:rPr>
        <w:t>Р.р</w:t>
      </w:r>
      <w:proofErr w:type="spellEnd"/>
      <w:r w:rsidRPr="004D6463">
        <w:rPr>
          <w:rFonts w:ascii="Times New Roman" w:hAnsi="Times New Roman"/>
          <w:sz w:val="28"/>
          <w:szCs w:val="28"/>
        </w:rPr>
        <w:t xml:space="preserve">. Чтение по ролям, инсценировка. </w:t>
      </w:r>
      <w:proofErr w:type="spellStart"/>
      <w:r w:rsidRPr="004D6463">
        <w:rPr>
          <w:rFonts w:ascii="Times New Roman" w:hAnsi="Times New Roman"/>
          <w:sz w:val="28"/>
          <w:szCs w:val="28"/>
        </w:rPr>
        <w:t>Р.р</w:t>
      </w:r>
      <w:proofErr w:type="spellEnd"/>
      <w:r w:rsidRPr="004D6463">
        <w:rPr>
          <w:rFonts w:ascii="Times New Roman" w:hAnsi="Times New Roman"/>
          <w:sz w:val="28"/>
          <w:szCs w:val="28"/>
        </w:rPr>
        <w:t>. Составле</w:t>
      </w:r>
      <w:r>
        <w:rPr>
          <w:rFonts w:ascii="Times New Roman" w:hAnsi="Times New Roman"/>
          <w:sz w:val="28"/>
          <w:szCs w:val="28"/>
        </w:rPr>
        <w:t>ние плана пересказа, пересказ.</w:t>
      </w:r>
    </w:p>
    <w:p w:rsidR="008B4548" w:rsidRPr="004D6463" w:rsidRDefault="008B4548" w:rsidP="008B4548">
      <w:pPr>
        <w:rPr>
          <w:rFonts w:ascii="Times New Roman" w:hAnsi="Times New Roman"/>
          <w:sz w:val="28"/>
          <w:szCs w:val="28"/>
        </w:rPr>
      </w:pPr>
      <w:r w:rsidRPr="004D6463">
        <w:rPr>
          <w:rFonts w:ascii="Times New Roman" w:hAnsi="Times New Roman"/>
          <w:sz w:val="28"/>
          <w:szCs w:val="28"/>
        </w:rPr>
        <w:t xml:space="preserve">9. А.С. Неверов (Скобелев). Жизнь и творчество А.С. Неверова в Самарской губернии. Первая советская детская повесть «Ташкент – город хлебный» (изучение возможно на уровне фрагментов, обзора). Судьбы самарских крестьян. Дети и недетские проблемы. Сказочные мотивы в повести. </w:t>
      </w:r>
    </w:p>
    <w:p w:rsidR="00620B04" w:rsidRDefault="00620B04"/>
    <w:p w:rsidR="008B4548" w:rsidRDefault="008B4548"/>
    <w:sectPr w:rsidR="008B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B46"/>
    <w:multiLevelType w:val="hybridMultilevel"/>
    <w:tmpl w:val="CB480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8"/>
    <w:rsid w:val="00117681"/>
    <w:rsid w:val="00620B04"/>
    <w:rsid w:val="00837DAD"/>
    <w:rsid w:val="008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06"/>
  <w15:chartTrackingRefBased/>
  <w15:docId w15:val="{40639389-48AA-4D18-8514-5E3B5AB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81"/>
  </w:style>
  <w:style w:type="paragraph" w:styleId="3">
    <w:name w:val="heading 3"/>
    <w:basedOn w:val="a"/>
    <w:link w:val="30"/>
    <w:uiPriority w:val="9"/>
    <w:qFormat/>
    <w:rsid w:val="00117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176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76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17681"/>
    <w:rPr>
      <w:b/>
      <w:bCs/>
    </w:rPr>
  </w:style>
  <w:style w:type="paragraph" w:styleId="a6">
    <w:name w:val="List Paragraph"/>
    <w:basedOn w:val="a"/>
    <w:link w:val="a7"/>
    <w:uiPriority w:val="99"/>
    <w:qFormat/>
    <w:rsid w:val="0011768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8B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швайцер</dc:creator>
  <cp:keywords/>
  <dc:description/>
  <cp:lastModifiedBy>антон швайцер</cp:lastModifiedBy>
  <cp:revision>1</cp:revision>
  <dcterms:created xsi:type="dcterms:W3CDTF">2020-10-01T13:03:00Z</dcterms:created>
  <dcterms:modified xsi:type="dcterms:W3CDTF">2020-10-01T13:25:00Z</dcterms:modified>
</cp:coreProperties>
</file>